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CB4" w:rsidRPr="001573F4" w:rsidRDefault="00630CB4" w:rsidP="001573F4">
      <w:pPr>
        <w:tabs>
          <w:tab w:val="left" w:pos="1710"/>
        </w:tabs>
        <w:spacing w:after="0" w:line="240" w:lineRule="auto"/>
        <w:rPr>
          <w:rFonts w:ascii="Century Gothic" w:hAnsi="Century Gothic"/>
        </w:rPr>
      </w:pPr>
    </w:p>
    <w:p w:rsidR="00395F88" w:rsidRPr="00395F88" w:rsidRDefault="00395F88" w:rsidP="001573F4">
      <w:pPr>
        <w:pStyle w:val="ListParagraph"/>
        <w:spacing w:after="0" w:line="240" w:lineRule="auto"/>
        <w:ind w:left="0"/>
        <w:jc w:val="center"/>
        <w:rPr>
          <w:rFonts w:ascii="Times New Roman" w:hAnsi="Times New Roman" w:cs="Times New Roman"/>
          <w:sz w:val="24"/>
          <w:szCs w:val="24"/>
        </w:rPr>
      </w:pPr>
      <w:r w:rsidRPr="00395F88">
        <w:rPr>
          <w:rFonts w:ascii="Times New Roman" w:hAnsi="Times New Roman" w:cs="Times New Roman"/>
          <w:sz w:val="24"/>
          <w:szCs w:val="24"/>
        </w:rPr>
        <w:t>Case Study</w:t>
      </w:r>
    </w:p>
    <w:p w:rsidR="00395F88" w:rsidRDefault="00395F88" w:rsidP="00395F88">
      <w:pPr>
        <w:pStyle w:val="ListParagraph"/>
        <w:spacing w:after="0" w:line="240" w:lineRule="auto"/>
        <w:ind w:left="0"/>
        <w:jc w:val="center"/>
        <w:rPr>
          <w:rFonts w:ascii="Times New Roman" w:hAnsi="Times New Roman" w:cs="Times New Roman"/>
          <w:b/>
          <w:sz w:val="24"/>
          <w:szCs w:val="24"/>
        </w:rPr>
      </w:pPr>
      <w:r w:rsidRPr="00395F88">
        <w:rPr>
          <w:rFonts w:ascii="Times New Roman" w:hAnsi="Times New Roman" w:cs="Times New Roman"/>
          <w:b/>
          <w:sz w:val="24"/>
          <w:szCs w:val="24"/>
        </w:rPr>
        <w:t>Education Food Services at Central Maine State University</w:t>
      </w:r>
    </w:p>
    <w:p w:rsidR="00395F88" w:rsidRDefault="00395F88" w:rsidP="00395F88">
      <w:pPr>
        <w:pStyle w:val="ListParagraph"/>
        <w:spacing w:after="0" w:line="240" w:lineRule="auto"/>
        <w:ind w:left="0"/>
        <w:rPr>
          <w:rFonts w:ascii="Times New Roman" w:hAnsi="Times New Roman" w:cs="Times New Roman"/>
          <w:sz w:val="24"/>
          <w:szCs w:val="24"/>
        </w:rPr>
      </w:pPr>
    </w:p>
    <w:p w:rsidR="00395F88" w:rsidRDefault="00395F88" w:rsidP="00395F8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Pam Worth, Manager of Education Food Services at Central Maine State University (CMSU), is meeting with a researcher to explain some apparent discrepancies in last year’s budgeted figures </w:t>
      </w:r>
      <w:r w:rsidR="000C2906">
        <w:rPr>
          <w:rFonts w:ascii="Times New Roman" w:hAnsi="Times New Roman" w:cs="Times New Roman"/>
          <w:sz w:val="24"/>
          <w:szCs w:val="24"/>
        </w:rPr>
        <w:t xml:space="preserve">and the </w:t>
      </w:r>
      <w:proofErr w:type="spellStart"/>
      <w:r w:rsidR="000C2906">
        <w:rPr>
          <w:rFonts w:ascii="Times New Roman" w:hAnsi="Times New Roman" w:cs="Times New Roman"/>
          <w:sz w:val="24"/>
          <w:szCs w:val="24"/>
        </w:rPr>
        <w:t>actuals</w:t>
      </w:r>
      <w:proofErr w:type="spellEnd"/>
      <w:r w:rsidR="000C2906">
        <w:rPr>
          <w:rFonts w:ascii="Times New Roman" w:hAnsi="Times New Roman" w:cs="Times New Roman"/>
          <w:sz w:val="24"/>
          <w:szCs w:val="24"/>
        </w:rPr>
        <w:t xml:space="preserve">. The researcher, a faculty member at another university, is doing field studies in the food service business. Pam is explaining why she always tries to hide some slack in her numbers when she prepares her budget. She says that it is her understanding </w:t>
      </w:r>
      <w:r w:rsidR="00F30E74">
        <w:rPr>
          <w:rFonts w:ascii="Times New Roman" w:hAnsi="Times New Roman" w:cs="Times New Roman"/>
          <w:sz w:val="24"/>
          <w:szCs w:val="24"/>
        </w:rPr>
        <w:t>that she is just doing what others in her company and in her industry do. She agreed to speak to the researcher only with guarantees of strict confidentiality.</w:t>
      </w:r>
    </w:p>
    <w:p w:rsidR="00F30E74" w:rsidRDefault="00F30E74" w:rsidP="00395F88">
      <w:pPr>
        <w:pStyle w:val="ListParagraph"/>
        <w:spacing w:after="0" w:line="240" w:lineRule="auto"/>
        <w:ind w:left="0"/>
        <w:rPr>
          <w:rFonts w:ascii="Times New Roman" w:hAnsi="Times New Roman" w:cs="Times New Roman"/>
          <w:sz w:val="24"/>
          <w:szCs w:val="24"/>
        </w:rPr>
      </w:pPr>
    </w:p>
    <w:p w:rsidR="00F30E74" w:rsidRDefault="00F30E74" w:rsidP="00F30E74">
      <w:pPr>
        <w:pStyle w:val="ListParagraph"/>
        <w:spacing w:after="0" w:line="240" w:lineRule="auto"/>
        <w:rPr>
          <w:rFonts w:ascii="Times New Roman" w:hAnsi="Times New Roman" w:cs="Times New Roman"/>
        </w:rPr>
      </w:pPr>
      <w:r>
        <w:rPr>
          <w:rFonts w:ascii="Times New Roman" w:hAnsi="Times New Roman" w:cs="Times New Roman"/>
        </w:rPr>
        <w:t>I like to have a moderate cushion in my budget. The stakes are high. If I make my budget my performance review will be good, almost regardless of whatever else I do during the period, and I will earn my 20% bonus. If I miss my budget</w:t>
      </w:r>
      <w:r w:rsidR="0059750D">
        <w:rPr>
          <w:rFonts w:ascii="Times New Roman" w:hAnsi="Times New Roman" w:cs="Times New Roman"/>
        </w:rPr>
        <w:t xml:space="preserve"> without valid reasons I may not be allowed to keep my job.</w:t>
      </w:r>
    </w:p>
    <w:p w:rsidR="0059750D" w:rsidRDefault="0059750D" w:rsidP="00F30E74">
      <w:pPr>
        <w:pStyle w:val="ListParagraph"/>
        <w:spacing w:after="0" w:line="240" w:lineRule="auto"/>
        <w:rPr>
          <w:rFonts w:ascii="Times New Roman" w:hAnsi="Times New Roman" w:cs="Times New Roman"/>
        </w:rPr>
      </w:pPr>
      <w:r>
        <w:rPr>
          <w:rFonts w:ascii="Times New Roman" w:hAnsi="Times New Roman" w:cs="Times New Roman"/>
        </w:rPr>
        <w:t>More than that, however, the cushion in the budget allows me to do a better job. I don’t have to worry that my staff is working at peak efficiency all the time, so I don’t have to supervise every action. That is better for the staff, also; they hate it when I’m looking over their shoulders. The cushion also allows me to buy things that I can use to provide the university with better service. For example, this year I was able to buy several porta</w:t>
      </w:r>
      <w:r w:rsidR="00AF255E">
        <w:rPr>
          <w:rFonts w:ascii="Times New Roman" w:hAnsi="Times New Roman" w:cs="Times New Roman"/>
        </w:rPr>
        <w:t>ble bars that we have used already for some parties.</w:t>
      </w:r>
    </w:p>
    <w:p w:rsidR="00E50DAA" w:rsidRDefault="00E50DAA" w:rsidP="00E50DAA">
      <w:pPr>
        <w:spacing w:after="0" w:line="240" w:lineRule="auto"/>
        <w:rPr>
          <w:rFonts w:ascii="Times New Roman" w:hAnsi="Times New Roman" w:cs="Times New Roman"/>
        </w:rPr>
      </w:pPr>
    </w:p>
    <w:p w:rsidR="00E50DAA" w:rsidRDefault="00E50DAA" w:rsidP="0054286F">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Pam, an accounting graduate of Northern University, is an employee of Contract Food Services Corporation (CFSC)</w:t>
      </w:r>
      <w:r w:rsidR="003B626F">
        <w:rPr>
          <w:rFonts w:ascii="Times New Roman" w:hAnsi="Times New Roman" w:cs="Times New Roman"/>
          <w:sz w:val="24"/>
          <w:szCs w:val="24"/>
        </w:rPr>
        <w:t>, a large corporation that provides food on a contract basis to universities, hospitals, and businesses. Pam runs a profit center</w:t>
      </w:r>
      <w:r w:rsidR="00920597">
        <w:rPr>
          <w:rFonts w:ascii="Times New Roman" w:hAnsi="Times New Roman" w:cs="Times New Roman"/>
          <w:sz w:val="24"/>
          <w:szCs w:val="24"/>
        </w:rPr>
        <w:t xml:space="preserve"> that provides services only to one university – CMSU. Her operation provides food at two major, on-campus cafeterias serving 12,000 students and nearly 2,000 faculty and staff. Pam also has responsibility for the vending machine business on campus, and her employees sometimes provide catering services for on-campus business meetings. Pam’s operation employs 59 regular employees and between 150 and 180 students on a part-time basis. Annual revenues are slightly in excess of $3 million.</w:t>
      </w:r>
    </w:p>
    <w:p w:rsidR="00920597" w:rsidRDefault="00920597" w:rsidP="0054286F">
      <w:pPr>
        <w:tabs>
          <w:tab w:val="left" w:pos="360"/>
        </w:tabs>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Re</w:t>
      </w:r>
      <w:r w:rsidR="0054286F">
        <w:rPr>
          <w:rFonts w:ascii="Times New Roman" w:hAnsi="Times New Roman" w:cs="Times New Roman"/>
          <w:sz w:val="24"/>
          <w:szCs w:val="24"/>
        </w:rPr>
        <w:t>lations between CFSC and CMSU are governed by a</w:t>
      </w:r>
      <w:r w:rsidR="00471723">
        <w:rPr>
          <w:rFonts w:ascii="Times New Roman" w:hAnsi="Times New Roman" w:cs="Times New Roman"/>
          <w:sz w:val="24"/>
          <w:szCs w:val="24"/>
        </w:rPr>
        <w:t xml:space="preserve"> contract that is renegotiated each January for the following academic year. The contract defines the responsibilities of each party. For example, CMSU administrators are given the power to review and approve CFSC’s service plans and prices. The university provides all equipment costing over $100. CFSC sets the menus and hires the employees.</w:t>
      </w:r>
    </w:p>
    <w:p w:rsidR="00471723" w:rsidRDefault="00471723" w:rsidP="0054286F">
      <w:pPr>
        <w:tabs>
          <w:tab w:val="left" w:pos="360"/>
        </w:tabs>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The contract also defines limits of the profits CFSC can earn from the CMSU operation. CFSC earns 100% of the profits from the food operation up to a limit of 10% profit on sales. Beyond that limit, profits are split equally with CMSU. The contract is set this way as an incentive to CFSC managers to provide extra quality and services after they have ensured themselves a reasonable profit.</w:t>
      </w:r>
    </w:p>
    <w:p w:rsidR="00471723" w:rsidRDefault="00471723" w:rsidP="0054286F">
      <w:pPr>
        <w:tabs>
          <w:tab w:val="left" w:pos="360"/>
        </w:tabs>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Budgets are prepared on a bottom-up basis. In July corporate headquarters personnel send planning guidelines and assumptions (e.g. employee benefits, inflation) to all operating units. The operating managers forecast their customer counts, which determines their food requirements, and then estimate their operating costs for the 18-month period star</w:t>
      </w:r>
      <w:r w:rsidR="005C39A5">
        <w:rPr>
          <w:rFonts w:ascii="Times New Roman" w:hAnsi="Times New Roman" w:cs="Times New Roman"/>
          <w:sz w:val="24"/>
          <w:szCs w:val="24"/>
        </w:rPr>
        <w:t>ting in January. Since the university owns the buildings and equipment the bulk of CFSC’s costs are for food and labor.</w:t>
      </w:r>
    </w:p>
    <w:p w:rsidR="005C39A5" w:rsidRDefault="005C39A5" w:rsidP="0054286F">
      <w:pPr>
        <w:tabs>
          <w:tab w:val="left" w:pos="360"/>
        </w:tabs>
        <w:spacing w:after="0" w:line="24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After the units’ budgets are prepared a series of budge </w:t>
      </w:r>
      <w:r>
        <w:rPr>
          <w:rFonts w:ascii="Times New Roman" w:hAnsi="Times New Roman" w:cs="Times New Roman"/>
          <w:i/>
          <w:sz w:val="24"/>
          <w:szCs w:val="24"/>
        </w:rPr>
        <w:t>challenge</w:t>
      </w:r>
      <w:r>
        <w:rPr>
          <w:rFonts w:ascii="Times New Roman" w:hAnsi="Times New Roman" w:cs="Times New Roman"/>
          <w:sz w:val="24"/>
          <w:szCs w:val="24"/>
        </w:rPr>
        <w:t xml:space="preserve"> rounds are held to review the numbers at successively higher</w:t>
      </w:r>
      <w:r w:rsidR="00EB7569">
        <w:rPr>
          <w:rFonts w:ascii="Times New Roman" w:hAnsi="Times New Roman" w:cs="Times New Roman"/>
          <w:sz w:val="24"/>
          <w:szCs w:val="24"/>
        </w:rPr>
        <w:t xml:space="preserve"> CFSC consolidation levels – district, region, division, group, and corporate. If the numbers meet the managers’ profit expectations the budgets are accepted. Typically, however, each of the managers in the hierarchy is asked to raise his or her profit targets. These requests lead to a series of meetings designed to explore whether revenue projections should be raised or cost projections cut.</w:t>
      </w:r>
      <w:r w:rsidR="00E309D1">
        <w:rPr>
          <w:rFonts w:ascii="Times New Roman" w:hAnsi="Times New Roman" w:cs="Times New Roman"/>
          <w:sz w:val="24"/>
          <w:szCs w:val="24"/>
        </w:rPr>
        <w:t xml:space="preserve"> The </w:t>
      </w:r>
      <w:proofErr w:type="gramStart"/>
      <w:r w:rsidR="00E309D1">
        <w:rPr>
          <w:rFonts w:ascii="Times New Roman" w:hAnsi="Times New Roman" w:cs="Times New Roman"/>
          <w:sz w:val="24"/>
          <w:szCs w:val="24"/>
        </w:rPr>
        <w:t>size of these profit increase requests are</w:t>
      </w:r>
      <w:proofErr w:type="gramEnd"/>
      <w:r w:rsidR="00E309D1">
        <w:rPr>
          <w:rFonts w:ascii="Times New Roman" w:hAnsi="Times New Roman" w:cs="Times New Roman"/>
          <w:sz w:val="24"/>
          <w:szCs w:val="24"/>
        </w:rPr>
        <w:t xml:space="preserve"> not predictable, but in recent years they have ranged from zero to 15%.</w:t>
      </w:r>
    </w:p>
    <w:p w:rsidR="00E309D1" w:rsidRDefault="00E309D1" w:rsidP="0054286F">
      <w:pPr>
        <w:tabs>
          <w:tab w:val="left" w:pos="360"/>
        </w:tabs>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Pam explains that she routinely hides some cushion in both labor and food costs:</w:t>
      </w:r>
    </w:p>
    <w:p w:rsidR="00E309D1" w:rsidRDefault="00E309D1" w:rsidP="0054286F">
      <w:pPr>
        <w:tabs>
          <w:tab w:val="left" w:pos="360"/>
        </w:tabs>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I can build the budget cushion in a lot of places. This year for example:</w:t>
      </w:r>
    </w:p>
    <w:p w:rsidR="00E309D1" w:rsidRDefault="00E309D1" w:rsidP="0054286F">
      <w:pPr>
        <w:tabs>
          <w:tab w:val="left" w:pos="360"/>
        </w:tabs>
        <w:spacing w:after="0" w:line="240" w:lineRule="auto"/>
        <w:ind w:firstLine="360"/>
        <w:rPr>
          <w:rFonts w:ascii="Times New Roman" w:hAnsi="Times New Roman" w:cs="Times New Roman"/>
          <w:sz w:val="24"/>
          <w:szCs w:val="24"/>
        </w:rPr>
      </w:pPr>
    </w:p>
    <w:p w:rsidR="00E309D1" w:rsidRDefault="00E309D1" w:rsidP="00E309D1">
      <w:pPr>
        <w:pStyle w:val="ListParagraph"/>
        <w:numPr>
          <w:ilvl w:val="0"/>
          <w:numId w:val="7"/>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 kept the proportion of meals served on board contracts (which are more lucrative for us) equivalent to last year’s level even though I know that proportion will be growing because the trend is to have more students living on campus.</w:t>
      </w:r>
    </w:p>
    <w:p w:rsidR="00E309D1" w:rsidRDefault="00E309D1" w:rsidP="00E309D1">
      <w:pPr>
        <w:pStyle w:val="ListParagraph"/>
        <w:numPr>
          <w:ilvl w:val="0"/>
          <w:numId w:val="7"/>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 planned for a number of labor hours at $</w:t>
      </w:r>
      <w:r w:rsidR="002F4637">
        <w:rPr>
          <w:rFonts w:ascii="Times New Roman" w:hAnsi="Times New Roman" w:cs="Times New Roman"/>
          <w:sz w:val="24"/>
          <w:szCs w:val="24"/>
        </w:rPr>
        <w:t>7.15 when I knew that I would hire students for those hours, and students don’t earn that much.</w:t>
      </w:r>
    </w:p>
    <w:p w:rsidR="002F4637" w:rsidRDefault="002F4637" w:rsidP="00E309D1">
      <w:pPr>
        <w:pStyle w:val="ListParagraph"/>
        <w:numPr>
          <w:ilvl w:val="0"/>
          <w:numId w:val="7"/>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planned no efficiency improvements when I know we almost always improve our efficiency. There is a </w:t>
      </w:r>
      <w:r w:rsidR="00245C1E">
        <w:rPr>
          <w:rFonts w:ascii="Times New Roman" w:hAnsi="Times New Roman" w:cs="Times New Roman"/>
          <w:sz w:val="24"/>
          <w:szCs w:val="24"/>
        </w:rPr>
        <w:t>learning curve in this business. My superiors know about this learning curve too – they ran operations just like this – but they don’t object to my having a cushion. It is to their advantage to have me meet my budget too.</w:t>
      </w:r>
    </w:p>
    <w:p w:rsidR="00245C1E" w:rsidRDefault="00245C1E" w:rsidP="00245C1E">
      <w:pPr>
        <w:tabs>
          <w:tab w:val="left" w:pos="360"/>
        </w:tabs>
        <w:spacing w:after="0" w:line="240" w:lineRule="auto"/>
        <w:rPr>
          <w:rFonts w:ascii="Times New Roman" w:hAnsi="Times New Roman" w:cs="Times New Roman"/>
          <w:sz w:val="24"/>
          <w:szCs w:val="24"/>
        </w:rPr>
      </w:pPr>
    </w:p>
    <w:p w:rsidR="00245C1E" w:rsidRDefault="00245C1E" w:rsidP="00245C1E">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These types of things add up. I put just enough in so that I am sure I will be able to meet my budget targets even after corporate management squeezes some of my cushion out in their reviews.</w:t>
      </w:r>
    </w:p>
    <w:p w:rsidR="002A5836" w:rsidRDefault="002A5836" w:rsidP="00245C1E">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b/>
        <w:t>I know more about what is happening at CMSU than anyone else. My bosses can’t come here and check every assumption that I have in the plan. They don’t have the time. My immediate boss, for example, is responsible for nine units spread over a fairly large geographical area.</w:t>
      </w:r>
    </w:p>
    <w:p w:rsidR="002A5836" w:rsidRDefault="002A5836" w:rsidP="00245C1E">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b/>
        <w:t>You can easily identify new managers – they submit budgets that are realistic. Experienced managers build in pads for themselves. It’s a bit devious, sure, but it’s not theft. It’s just playing with projections. The money’s there. Besides, if you don’t build a cushion for yourself you’re</w:t>
      </w:r>
      <w:r w:rsidR="00C632BD">
        <w:rPr>
          <w:rFonts w:ascii="Times New Roman" w:hAnsi="Times New Roman" w:cs="Times New Roman"/>
          <w:sz w:val="24"/>
          <w:szCs w:val="24"/>
        </w:rPr>
        <w:t xml:space="preserve"> not going to survive for long in this business.</w:t>
      </w:r>
    </w:p>
    <w:p w:rsidR="00285F2E" w:rsidRDefault="00285F2E" w:rsidP="00285F2E">
      <w:pPr>
        <w:pBdr>
          <w:top w:val="single" w:sz="4" w:space="1" w:color="auto"/>
        </w:pBdr>
        <w:tabs>
          <w:tab w:val="left" w:pos="360"/>
        </w:tabs>
        <w:spacing w:after="0" w:line="240" w:lineRule="auto"/>
        <w:rPr>
          <w:rFonts w:ascii="Times New Roman" w:hAnsi="Times New Roman" w:cs="Times New Roman"/>
          <w:sz w:val="24"/>
          <w:szCs w:val="24"/>
        </w:rPr>
      </w:pPr>
    </w:p>
    <w:p w:rsidR="00285F2E" w:rsidRDefault="00285F2E" w:rsidP="00245C1E">
      <w:pPr>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This case was prepared by Professor Kenneth A. Merchant</w:t>
      </w:r>
    </w:p>
    <w:p w:rsidR="00285F2E" w:rsidRDefault="00285F2E" w:rsidP="00245C1E">
      <w:pPr>
        <w:tabs>
          <w:tab w:val="left" w:pos="360"/>
        </w:tabs>
        <w:spacing w:after="0" w:line="240" w:lineRule="auto"/>
        <w:rPr>
          <w:rFonts w:ascii="Times New Roman" w:hAnsi="Times New Roman" w:cs="Times New Roman"/>
          <w:sz w:val="20"/>
          <w:szCs w:val="20"/>
        </w:rPr>
      </w:pPr>
    </w:p>
    <w:p w:rsidR="00285F2E" w:rsidRDefault="00285F2E" w:rsidP="00245C1E">
      <w:pPr>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Copyright © by Kenneth A. Merchant</w:t>
      </w:r>
    </w:p>
    <w:p w:rsidR="00285F2E" w:rsidRDefault="00285F2E" w:rsidP="00245C1E">
      <w:pPr>
        <w:tabs>
          <w:tab w:val="left" w:pos="360"/>
        </w:tabs>
        <w:spacing w:after="0" w:line="240" w:lineRule="auto"/>
        <w:rPr>
          <w:rFonts w:ascii="Times New Roman" w:hAnsi="Times New Roman" w:cs="Times New Roman"/>
          <w:sz w:val="20"/>
          <w:szCs w:val="20"/>
        </w:rPr>
      </w:pPr>
    </w:p>
    <w:p w:rsidR="001573F4" w:rsidRPr="001573F4" w:rsidRDefault="001573F4" w:rsidP="001573F4">
      <w:pPr>
        <w:tabs>
          <w:tab w:val="left" w:pos="360"/>
        </w:tabs>
        <w:spacing w:after="0" w:line="240" w:lineRule="auto"/>
        <w:rPr>
          <w:rFonts w:ascii="Times New Roman" w:hAnsi="Times New Roman" w:cs="Times New Roman"/>
          <w:b/>
          <w:sz w:val="24"/>
          <w:szCs w:val="24"/>
        </w:rPr>
      </w:pPr>
      <w:r w:rsidRPr="001573F4">
        <w:rPr>
          <w:rFonts w:ascii="Times New Roman" w:hAnsi="Times New Roman" w:cs="Times New Roman"/>
          <w:b/>
          <w:sz w:val="24"/>
          <w:szCs w:val="24"/>
        </w:rPr>
        <w:t>Question</w:t>
      </w:r>
    </w:p>
    <w:p w:rsidR="001573F4" w:rsidRPr="001573F4" w:rsidRDefault="001573F4" w:rsidP="001573F4">
      <w:pPr>
        <w:tabs>
          <w:tab w:val="left" w:pos="360"/>
        </w:tabs>
        <w:spacing w:after="0" w:line="240" w:lineRule="auto"/>
        <w:ind w:firstLine="360"/>
        <w:rPr>
          <w:rFonts w:ascii="Times New Roman" w:hAnsi="Times New Roman" w:cs="Times New Roman"/>
          <w:b/>
          <w:sz w:val="24"/>
          <w:szCs w:val="24"/>
        </w:rPr>
      </w:pPr>
    </w:p>
    <w:p w:rsidR="001573F4" w:rsidRPr="001573F4" w:rsidRDefault="001573F4" w:rsidP="001573F4">
      <w:pPr>
        <w:spacing w:after="0" w:line="240" w:lineRule="auto"/>
        <w:rPr>
          <w:rFonts w:ascii="Times New Roman" w:hAnsi="Times New Roman" w:cs="Times New Roman"/>
          <w:b/>
          <w:sz w:val="24"/>
          <w:szCs w:val="24"/>
        </w:rPr>
      </w:pPr>
      <w:r w:rsidRPr="001573F4">
        <w:rPr>
          <w:rFonts w:ascii="Times New Roman" w:hAnsi="Times New Roman" w:cs="Times New Roman"/>
          <w:b/>
          <w:sz w:val="24"/>
          <w:szCs w:val="24"/>
        </w:rPr>
        <w:t>Are Pam’s actions ethical or unethical? Explain. In analyzing the case, use the steps described in chapter 15.</w:t>
      </w:r>
    </w:p>
    <w:p w:rsidR="002E3D79" w:rsidRDefault="002E3D79" w:rsidP="00EF4714">
      <w:pPr>
        <w:spacing w:after="0" w:line="240" w:lineRule="auto"/>
        <w:rPr>
          <w:rFonts w:ascii="Times New Roman" w:hAnsi="Times New Roman" w:cs="Times New Roman"/>
          <w:sz w:val="24"/>
          <w:szCs w:val="24"/>
        </w:rPr>
        <w:sectPr w:rsidR="002E3D79" w:rsidSect="002E3D79">
          <w:footerReference w:type="default" r:id="rId8"/>
          <w:pgSz w:w="12240" w:h="15840"/>
          <w:pgMar w:top="1440" w:right="1440" w:bottom="1440" w:left="1440" w:header="720" w:footer="720" w:gutter="0"/>
          <w:cols w:space="720"/>
          <w:docGrid w:linePitch="360"/>
        </w:sectPr>
      </w:pPr>
    </w:p>
    <w:p w:rsidR="002E3D79" w:rsidRDefault="001573F4" w:rsidP="00EF4714">
      <w:pPr>
        <w:spacing w:after="0" w:line="240" w:lineRule="auto"/>
      </w:pPr>
      <w:r>
        <w:rPr>
          <w:rFonts w:ascii="Century Gothic" w:hAnsi="Century Gothic"/>
        </w:rPr>
        <w:lastRenderedPageBreak/>
        <w:t xml:space="preserve">Answers are to be </w:t>
      </w:r>
      <w:r>
        <w:t>in six steps of analyzing ethical issues on page 661 of chapter 15 - Management Control-related Ethical Issues can be summarized into a four-step framework as follows</w:t>
      </w:r>
      <w:proofErr w:type="gramStart"/>
      <w:r>
        <w:t>:</w:t>
      </w:r>
      <w:proofErr w:type="gramEnd"/>
      <w:r>
        <w:br/>
      </w:r>
      <w:r>
        <w:br/>
        <w:t>(1) Determine the facts</w:t>
      </w:r>
      <w:r>
        <w:br/>
        <w:t>(2) Determine ethical issues (ethical principles are discussed in this step)</w:t>
      </w:r>
      <w:r>
        <w:br/>
        <w:t>(3) Decision alternatives and their probable consequences</w:t>
      </w:r>
      <w:r>
        <w:br/>
        <w:t>(4) Compare the alternatives with the ethical principles and choose the best alternative.</w:t>
      </w:r>
    </w:p>
    <w:p w:rsidR="001573F4" w:rsidRPr="001573F4" w:rsidRDefault="001573F4" w:rsidP="00EF4714">
      <w:pPr>
        <w:spacing w:after="0" w:line="240" w:lineRule="auto"/>
        <w:rPr>
          <w:rFonts w:ascii="Century Gothic" w:hAnsi="Century Gothic"/>
          <w:b/>
        </w:rPr>
      </w:pPr>
      <w:r w:rsidRPr="001573F4">
        <w:rPr>
          <w:b/>
        </w:rPr>
        <w:t xml:space="preserve">Case-study Component areas-Grading criteria </w:t>
      </w:r>
    </w:p>
    <w:tbl>
      <w:tblPr>
        <w:tblStyle w:val="TableGrid"/>
        <w:tblW w:w="14040" w:type="dxa"/>
        <w:tblInd w:w="-432" w:type="dxa"/>
        <w:tblLayout w:type="fixed"/>
        <w:tblLook w:val="04A0"/>
      </w:tblPr>
      <w:tblGrid>
        <w:gridCol w:w="2635"/>
        <w:gridCol w:w="236"/>
        <w:gridCol w:w="236"/>
        <w:gridCol w:w="9782"/>
        <w:gridCol w:w="1151"/>
      </w:tblGrid>
      <w:tr w:rsidR="00EF4714" w:rsidRPr="00E028B7" w:rsidTr="001573F4">
        <w:tc>
          <w:tcPr>
            <w:tcW w:w="2635" w:type="dxa"/>
          </w:tcPr>
          <w:p w:rsidR="00EF4714" w:rsidRPr="00E028B7" w:rsidRDefault="00C338EA" w:rsidP="00EF4714">
            <w:pPr>
              <w:rPr>
                <w:rFonts w:ascii="Century Gothic" w:hAnsi="Century Gothic"/>
                <w:sz w:val="20"/>
                <w:szCs w:val="20"/>
              </w:rPr>
            </w:pPr>
            <w:r w:rsidRPr="00E028B7">
              <w:rPr>
                <w:rFonts w:ascii="Century Gothic" w:hAnsi="Century Gothic"/>
                <w:sz w:val="20"/>
                <w:szCs w:val="20"/>
              </w:rPr>
              <w:t>Determine the facts</w:t>
            </w:r>
          </w:p>
        </w:tc>
        <w:tc>
          <w:tcPr>
            <w:tcW w:w="236" w:type="dxa"/>
          </w:tcPr>
          <w:p w:rsidR="00EF4714" w:rsidRPr="00E028B7" w:rsidRDefault="00EF4714" w:rsidP="00EF4714">
            <w:pPr>
              <w:rPr>
                <w:rFonts w:ascii="Century Gothic" w:hAnsi="Century Gothic"/>
                <w:sz w:val="20"/>
                <w:szCs w:val="20"/>
              </w:rPr>
            </w:pPr>
          </w:p>
        </w:tc>
        <w:tc>
          <w:tcPr>
            <w:tcW w:w="236" w:type="dxa"/>
          </w:tcPr>
          <w:p w:rsidR="00EF4714" w:rsidRPr="00E028B7" w:rsidRDefault="00EF4714" w:rsidP="00EF4714">
            <w:pPr>
              <w:rPr>
                <w:rFonts w:ascii="Century Gothic" w:hAnsi="Century Gothic"/>
                <w:sz w:val="20"/>
                <w:szCs w:val="20"/>
              </w:rPr>
            </w:pPr>
          </w:p>
        </w:tc>
        <w:tc>
          <w:tcPr>
            <w:tcW w:w="9782" w:type="dxa"/>
          </w:tcPr>
          <w:p w:rsidR="00EF4714" w:rsidRPr="00E028B7" w:rsidRDefault="007E520B" w:rsidP="00EF4714">
            <w:pPr>
              <w:rPr>
                <w:rFonts w:ascii="Century Gothic" w:hAnsi="Century Gothic"/>
                <w:sz w:val="20"/>
                <w:szCs w:val="20"/>
              </w:rPr>
            </w:pPr>
            <w:r w:rsidRPr="00E028B7">
              <w:rPr>
                <w:rFonts w:ascii="Century Gothic" w:hAnsi="Century Gothic"/>
                <w:sz w:val="20"/>
                <w:szCs w:val="20"/>
              </w:rPr>
              <w:t>All the facts identified are related to the issue of the case; the facts described the “who”, “what”, “where”, “when” and “how”</w:t>
            </w:r>
          </w:p>
        </w:tc>
        <w:tc>
          <w:tcPr>
            <w:tcW w:w="1151" w:type="dxa"/>
          </w:tcPr>
          <w:p w:rsidR="00EF4714" w:rsidRPr="00E028B7" w:rsidRDefault="00EF4714" w:rsidP="00EF4714">
            <w:pPr>
              <w:rPr>
                <w:rFonts w:ascii="Century Gothic" w:hAnsi="Century Gothic"/>
                <w:sz w:val="20"/>
                <w:szCs w:val="20"/>
              </w:rPr>
            </w:pPr>
          </w:p>
        </w:tc>
      </w:tr>
      <w:tr w:rsidR="00EF4714" w:rsidRPr="00E028B7" w:rsidTr="001573F4">
        <w:tc>
          <w:tcPr>
            <w:tcW w:w="2635" w:type="dxa"/>
          </w:tcPr>
          <w:p w:rsidR="00EF4714" w:rsidRPr="00E028B7" w:rsidRDefault="00C338EA" w:rsidP="00EF4714">
            <w:pPr>
              <w:rPr>
                <w:rFonts w:ascii="Century Gothic" w:hAnsi="Century Gothic"/>
                <w:sz w:val="20"/>
                <w:szCs w:val="20"/>
              </w:rPr>
            </w:pPr>
            <w:r w:rsidRPr="00E028B7">
              <w:rPr>
                <w:rFonts w:ascii="Century Gothic" w:hAnsi="Century Gothic"/>
                <w:sz w:val="20"/>
                <w:szCs w:val="20"/>
              </w:rPr>
              <w:t>Define the ethical issues</w:t>
            </w:r>
          </w:p>
        </w:tc>
        <w:tc>
          <w:tcPr>
            <w:tcW w:w="236" w:type="dxa"/>
          </w:tcPr>
          <w:p w:rsidR="00EF4714" w:rsidRPr="00E028B7" w:rsidRDefault="00EF4714" w:rsidP="00EF4714">
            <w:pPr>
              <w:rPr>
                <w:rFonts w:ascii="Century Gothic" w:hAnsi="Century Gothic"/>
                <w:sz w:val="20"/>
                <w:szCs w:val="20"/>
              </w:rPr>
            </w:pPr>
          </w:p>
        </w:tc>
        <w:tc>
          <w:tcPr>
            <w:tcW w:w="236" w:type="dxa"/>
          </w:tcPr>
          <w:p w:rsidR="00EF4714" w:rsidRPr="00E028B7" w:rsidRDefault="00EF4714" w:rsidP="00EF4714">
            <w:pPr>
              <w:rPr>
                <w:rFonts w:ascii="Century Gothic" w:hAnsi="Century Gothic"/>
                <w:sz w:val="20"/>
                <w:szCs w:val="20"/>
              </w:rPr>
            </w:pPr>
          </w:p>
        </w:tc>
        <w:tc>
          <w:tcPr>
            <w:tcW w:w="9782" w:type="dxa"/>
          </w:tcPr>
          <w:p w:rsidR="00EF4714" w:rsidRPr="00E028B7" w:rsidRDefault="007E520B" w:rsidP="00EF4714">
            <w:pPr>
              <w:rPr>
                <w:rFonts w:ascii="Century Gothic" w:hAnsi="Century Gothic"/>
                <w:sz w:val="20"/>
                <w:szCs w:val="20"/>
              </w:rPr>
            </w:pPr>
            <w:r w:rsidRPr="00E028B7">
              <w:rPr>
                <w:rFonts w:ascii="Century Gothic" w:hAnsi="Century Gothic"/>
                <w:sz w:val="20"/>
                <w:szCs w:val="20"/>
              </w:rPr>
              <w:t>Pres</w:t>
            </w:r>
            <w:r w:rsidR="00D73A71" w:rsidRPr="00E028B7">
              <w:rPr>
                <w:rFonts w:ascii="Century Gothic" w:hAnsi="Century Gothic"/>
                <w:sz w:val="20"/>
                <w:szCs w:val="20"/>
              </w:rPr>
              <w:t>ents accurate and detailed descriptions of the problems and issues central to the case; provides well-focused dia</w:t>
            </w:r>
            <w:r w:rsidR="00B0001E" w:rsidRPr="00E028B7">
              <w:rPr>
                <w:rFonts w:ascii="Century Gothic" w:hAnsi="Century Gothic"/>
                <w:sz w:val="20"/>
                <w:szCs w:val="20"/>
              </w:rPr>
              <w:t>gnosis of strategic issues and key problems that demonstrates an excellent grasp of the current situation and strategic challenges</w:t>
            </w:r>
            <w:r w:rsidR="00D73A71" w:rsidRPr="00E028B7">
              <w:rPr>
                <w:rFonts w:ascii="Century Gothic" w:hAnsi="Century Gothic"/>
                <w:sz w:val="20"/>
                <w:szCs w:val="20"/>
              </w:rPr>
              <w:t xml:space="preserve"> </w:t>
            </w:r>
          </w:p>
        </w:tc>
        <w:tc>
          <w:tcPr>
            <w:tcW w:w="1151" w:type="dxa"/>
          </w:tcPr>
          <w:p w:rsidR="00EF4714" w:rsidRPr="00E028B7" w:rsidRDefault="00EF4714" w:rsidP="00EF4714">
            <w:pPr>
              <w:rPr>
                <w:rFonts w:ascii="Century Gothic" w:hAnsi="Century Gothic"/>
                <w:sz w:val="20"/>
                <w:szCs w:val="20"/>
              </w:rPr>
            </w:pPr>
          </w:p>
        </w:tc>
      </w:tr>
      <w:tr w:rsidR="00EF4714" w:rsidRPr="00E028B7" w:rsidTr="001573F4">
        <w:tc>
          <w:tcPr>
            <w:tcW w:w="2635" w:type="dxa"/>
          </w:tcPr>
          <w:p w:rsidR="00EF4714" w:rsidRPr="00E028B7" w:rsidRDefault="00C338EA" w:rsidP="00EF4714">
            <w:pPr>
              <w:rPr>
                <w:rFonts w:ascii="Century Gothic" w:hAnsi="Century Gothic"/>
                <w:sz w:val="20"/>
                <w:szCs w:val="20"/>
              </w:rPr>
            </w:pPr>
            <w:r w:rsidRPr="00E028B7">
              <w:rPr>
                <w:rFonts w:ascii="Century Gothic" w:hAnsi="Century Gothic"/>
                <w:sz w:val="20"/>
                <w:szCs w:val="20"/>
              </w:rPr>
              <w:t>Decision alternatives and their probable consequences</w:t>
            </w:r>
          </w:p>
        </w:tc>
        <w:tc>
          <w:tcPr>
            <w:tcW w:w="236" w:type="dxa"/>
          </w:tcPr>
          <w:p w:rsidR="00EF4714" w:rsidRPr="00E028B7" w:rsidRDefault="00EF4714" w:rsidP="000D7A02">
            <w:pPr>
              <w:rPr>
                <w:rFonts w:ascii="Century Gothic" w:hAnsi="Century Gothic"/>
                <w:sz w:val="20"/>
                <w:szCs w:val="20"/>
              </w:rPr>
            </w:pPr>
          </w:p>
        </w:tc>
        <w:tc>
          <w:tcPr>
            <w:tcW w:w="236" w:type="dxa"/>
          </w:tcPr>
          <w:p w:rsidR="00EF4714" w:rsidRPr="00E028B7" w:rsidRDefault="00EF4714" w:rsidP="00EF4714">
            <w:pPr>
              <w:rPr>
                <w:rFonts w:ascii="Century Gothic" w:hAnsi="Century Gothic"/>
                <w:sz w:val="20"/>
                <w:szCs w:val="20"/>
              </w:rPr>
            </w:pPr>
          </w:p>
        </w:tc>
        <w:tc>
          <w:tcPr>
            <w:tcW w:w="9782" w:type="dxa"/>
          </w:tcPr>
          <w:p w:rsidR="00EF4714" w:rsidRPr="00E028B7" w:rsidRDefault="000D7A02" w:rsidP="00EF4714">
            <w:pPr>
              <w:rPr>
                <w:rFonts w:ascii="Century Gothic" w:hAnsi="Century Gothic"/>
                <w:sz w:val="20"/>
                <w:szCs w:val="20"/>
              </w:rPr>
            </w:pPr>
            <w:r w:rsidRPr="00E028B7">
              <w:rPr>
                <w:rFonts w:ascii="Century Gothic" w:hAnsi="Century Gothic"/>
                <w:sz w:val="20"/>
                <w:szCs w:val="20"/>
              </w:rPr>
              <w:t>Presents all the alternatives that addresses the issue of the case; hig</w:t>
            </w:r>
            <w:r w:rsidR="00706CDD" w:rsidRPr="00E028B7">
              <w:rPr>
                <w:rFonts w:ascii="Century Gothic" w:hAnsi="Century Gothic"/>
                <w:sz w:val="20"/>
                <w:szCs w:val="20"/>
              </w:rPr>
              <w:t xml:space="preserve">hlights </w:t>
            </w:r>
            <w:r w:rsidRPr="00E028B7">
              <w:rPr>
                <w:rFonts w:ascii="Century Gothic" w:hAnsi="Century Gothic"/>
                <w:sz w:val="20"/>
                <w:szCs w:val="20"/>
              </w:rPr>
              <w:t>the short- and long-term, positive and negative consequences of the alternatives.</w:t>
            </w:r>
          </w:p>
        </w:tc>
        <w:tc>
          <w:tcPr>
            <w:tcW w:w="1151" w:type="dxa"/>
          </w:tcPr>
          <w:p w:rsidR="00EF4714" w:rsidRPr="00E028B7" w:rsidRDefault="00EF4714" w:rsidP="00EF4714">
            <w:pPr>
              <w:rPr>
                <w:rFonts w:ascii="Century Gothic" w:hAnsi="Century Gothic"/>
                <w:sz w:val="20"/>
                <w:szCs w:val="20"/>
              </w:rPr>
            </w:pPr>
          </w:p>
        </w:tc>
      </w:tr>
      <w:tr w:rsidR="00EF4714" w:rsidRPr="00E028B7" w:rsidTr="001573F4">
        <w:tc>
          <w:tcPr>
            <w:tcW w:w="2635" w:type="dxa"/>
          </w:tcPr>
          <w:p w:rsidR="00EF4714" w:rsidRPr="00E028B7" w:rsidRDefault="00C338EA" w:rsidP="00EF4714">
            <w:pPr>
              <w:rPr>
                <w:rFonts w:ascii="Century Gothic" w:hAnsi="Century Gothic"/>
                <w:sz w:val="20"/>
                <w:szCs w:val="20"/>
              </w:rPr>
            </w:pPr>
            <w:r w:rsidRPr="00E028B7">
              <w:rPr>
                <w:rFonts w:ascii="Century Gothic" w:hAnsi="Century Gothic"/>
                <w:sz w:val="20"/>
                <w:szCs w:val="20"/>
              </w:rPr>
              <w:t>Compare the alternatives with the ethical principles and choose the best alternative</w:t>
            </w:r>
          </w:p>
        </w:tc>
        <w:tc>
          <w:tcPr>
            <w:tcW w:w="236" w:type="dxa"/>
          </w:tcPr>
          <w:p w:rsidR="00EF4714" w:rsidRPr="00E028B7" w:rsidRDefault="00EF4714" w:rsidP="00EF4714">
            <w:pPr>
              <w:rPr>
                <w:rFonts w:ascii="Century Gothic" w:hAnsi="Century Gothic"/>
                <w:sz w:val="20"/>
                <w:szCs w:val="20"/>
              </w:rPr>
            </w:pPr>
          </w:p>
        </w:tc>
        <w:tc>
          <w:tcPr>
            <w:tcW w:w="236" w:type="dxa"/>
          </w:tcPr>
          <w:p w:rsidR="00EF4714" w:rsidRPr="00E028B7" w:rsidRDefault="00EF4714" w:rsidP="00EF4714">
            <w:pPr>
              <w:rPr>
                <w:rFonts w:ascii="Century Gothic" w:hAnsi="Century Gothic"/>
                <w:sz w:val="20"/>
                <w:szCs w:val="20"/>
              </w:rPr>
            </w:pPr>
          </w:p>
        </w:tc>
        <w:tc>
          <w:tcPr>
            <w:tcW w:w="9782" w:type="dxa"/>
          </w:tcPr>
          <w:p w:rsidR="00EF4714" w:rsidRPr="00E028B7" w:rsidRDefault="00706CDD" w:rsidP="00EF4714">
            <w:pPr>
              <w:rPr>
                <w:rFonts w:ascii="Century Gothic" w:hAnsi="Century Gothic"/>
                <w:sz w:val="20"/>
                <w:szCs w:val="20"/>
              </w:rPr>
            </w:pPr>
            <w:r w:rsidRPr="00E028B7">
              <w:rPr>
                <w:rFonts w:ascii="Century Gothic" w:hAnsi="Century Gothic"/>
                <w:sz w:val="20"/>
                <w:szCs w:val="20"/>
              </w:rPr>
              <w:t>All the alternatives are compared in depth; presents a</w:t>
            </w:r>
            <w:r w:rsidR="00E028B7" w:rsidRPr="00E028B7">
              <w:rPr>
                <w:rFonts w:ascii="Century Gothic" w:hAnsi="Century Gothic"/>
                <w:sz w:val="20"/>
                <w:szCs w:val="20"/>
              </w:rPr>
              <w:t xml:space="preserve"> balanced discussion on the consequences against their primary principles and values and select the alternative that best fits.</w:t>
            </w:r>
          </w:p>
        </w:tc>
        <w:tc>
          <w:tcPr>
            <w:tcW w:w="1151" w:type="dxa"/>
          </w:tcPr>
          <w:p w:rsidR="00EF4714" w:rsidRPr="00E028B7" w:rsidRDefault="00EF4714" w:rsidP="00EF4714">
            <w:pPr>
              <w:rPr>
                <w:rFonts w:ascii="Century Gothic" w:hAnsi="Century Gothic"/>
                <w:sz w:val="20"/>
                <w:szCs w:val="20"/>
              </w:rPr>
            </w:pPr>
          </w:p>
        </w:tc>
      </w:tr>
    </w:tbl>
    <w:p w:rsidR="00EF4714" w:rsidRDefault="00EF4714" w:rsidP="00EF4714">
      <w:pPr>
        <w:spacing w:after="0" w:line="240" w:lineRule="auto"/>
        <w:rPr>
          <w:rFonts w:ascii="Century Gothic" w:hAnsi="Century Gothic"/>
          <w:sz w:val="20"/>
          <w:szCs w:val="20"/>
        </w:rPr>
      </w:pPr>
    </w:p>
    <w:p w:rsidR="001573F4" w:rsidRPr="00E028B7" w:rsidRDefault="001573F4" w:rsidP="00EF4714">
      <w:pPr>
        <w:spacing w:after="0" w:line="240" w:lineRule="auto"/>
        <w:rPr>
          <w:rFonts w:ascii="Century Gothic" w:hAnsi="Century Gothic"/>
          <w:sz w:val="20"/>
          <w:szCs w:val="20"/>
        </w:rPr>
      </w:pPr>
    </w:p>
    <w:p w:rsidR="00C338EA" w:rsidRDefault="00C338EA" w:rsidP="00C338EA">
      <w:pPr>
        <w:pStyle w:val="Default"/>
      </w:pPr>
    </w:p>
    <w:p w:rsidR="00630CB4" w:rsidRPr="00630CB4" w:rsidRDefault="00C338EA" w:rsidP="002E3D79">
      <w:pPr>
        <w:pStyle w:val="Default"/>
        <w:rPr>
          <w:rFonts w:ascii="Century Gothic" w:hAnsi="Century Gothic"/>
        </w:rPr>
      </w:pPr>
      <w:r>
        <w:t xml:space="preserve">Adapted from:  </w:t>
      </w:r>
      <w:r>
        <w:rPr>
          <w:sz w:val="20"/>
          <w:szCs w:val="20"/>
        </w:rPr>
        <w:t xml:space="preserve">International Assembly for Collegiate Business Education, 11374 </w:t>
      </w:r>
      <w:proofErr w:type="spellStart"/>
      <w:r>
        <w:rPr>
          <w:sz w:val="20"/>
          <w:szCs w:val="20"/>
        </w:rPr>
        <w:t>Strang</w:t>
      </w:r>
      <w:proofErr w:type="spellEnd"/>
      <w:r>
        <w:rPr>
          <w:sz w:val="20"/>
          <w:szCs w:val="20"/>
        </w:rPr>
        <w:t xml:space="preserve"> Line Road, Lenexa, Kansas 66215, USA</w:t>
      </w:r>
    </w:p>
    <w:sectPr w:rsidR="00630CB4" w:rsidRPr="00630CB4" w:rsidSect="002E3D7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057" w:rsidRDefault="00991057" w:rsidP="003C4F0B">
      <w:pPr>
        <w:spacing w:after="0" w:line="240" w:lineRule="auto"/>
      </w:pPr>
      <w:r>
        <w:separator/>
      </w:r>
    </w:p>
  </w:endnote>
  <w:endnote w:type="continuationSeparator" w:id="0">
    <w:p w:rsidR="00991057" w:rsidRDefault="00991057" w:rsidP="003C4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9310637"/>
      <w:docPartObj>
        <w:docPartGallery w:val="Page Numbers (Bottom of Page)"/>
        <w:docPartUnique/>
      </w:docPartObj>
    </w:sdtPr>
    <w:sdtEndPr>
      <w:rPr>
        <w:color w:val="808080" w:themeColor="background1" w:themeShade="80"/>
        <w:spacing w:val="60"/>
      </w:rPr>
    </w:sdtEndPr>
    <w:sdtContent>
      <w:p w:rsidR="002500A9" w:rsidRDefault="00BE63C4">
        <w:pPr>
          <w:pStyle w:val="Footer"/>
          <w:pBdr>
            <w:top w:val="single" w:sz="4" w:space="1" w:color="D9D9D9" w:themeColor="background1" w:themeShade="D9"/>
          </w:pBdr>
          <w:jc w:val="right"/>
        </w:pPr>
        <w:r>
          <w:fldChar w:fldCharType="begin"/>
        </w:r>
        <w:r w:rsidR="002500A9">
          <w:instrText xml:space="preserve"> PAGE   \* MERGEFORMAT </w:instrText>
        </w:r>
        <w:r>
          <w:fldChar w:fldCharType="separate"/>
        </w:r>
        <w:r w:rsidR="001573F4">
          <w:rPr>
            <w:noProof/>
          </w:rPr>
          <w:t>2</w:t>
        </w:r>
        <w:r>
          <w:rPr>
            <w:noProof/>
          </w:rPr>
          <w:fldChar w:fldCharType="end"/>
        </w:r>
        <w:r w:rsidR="002500A9">
          <w:t xml:space="preserve"> | </w:t>
        </w:r>
        <w:r w:rsidR="002500A9">
          <w:rPr>
            <w:color w:val="808080" w:themeColor="background1" w:themeShade="80"/>
            <w:spacing w:val="60"/>
          </w:rPr>
          <w:t>Page</w:t>
        </w:r>
      </w:p>
    </w:sdtContent>
  </w:sdt>
  <w:p w:rsidR="002500A9" w:rsidRDefault="002500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057" w:rsidRDefault="00991057" w:rsidP="003C4F0B">
      <w:pPr>
        <w:spacing w:after="0" w:line="240" w:lineRule="auto"/>
      </w:pPr>
      <w:r>
        <w:separator/>
      </w:r>
    </w:p>
  </w:footnote>
  <w:footnote w:type="continuationSeparator" w:id="0">
    <w:p w:rsidR="00991057" w:rsidRDefault="00991057" w:rsidP="003C4F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D6542"/>
    <w:multiLevelType w:val="hybridMultilevel"/>
    <w:tmpl w:val="DB2A8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90AF4"/>
    <w:multiLevelType w:val="hybridMultilevel"/>
    <w:tmpl w:val="D136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59E2"/>
    <w:multiLevelType w:val="hybridMultilevel"/>
    <w:tmpl w:val="C3B23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B7BC5"/>
    <w:multiLevelType w:val="multilevel"/>
    <w:tmpl w:val="C3B237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C037A7"/>
    <w:multiLevelType w:val="hybridMultilevel"/>
    <w:tmpl w:val="78BA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1C36F0"/>
    <w:multiLevelType w:val="hybridMultilevel"/>
    <w:tmpl w:val="85B4E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E263B8E"/>
    <w:multiLevelType w:val="hybridMultilevel"/>
    <w:tmpl w:val="B2D4E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26F83"/>
    <w:rsid w:val="00010A52"/>
    <w:rsid w:val="00012ACE"/>
    <w:rsid w:val="000130FE"/>
    <w:rsid w:val="000154B0"/>
    <w:rsid w:val="00055E5B"/>
    <w:rsid w:val="000574CB"/>
    <w:rsid w:val="000A73C8"/>
    <w:rsid w:val="000B7AE2"/>
    <w:rsid w:val="000C1F8A"/>
    <w:rsid w:val="000C2906"/>
    <w:rsid w:val="000D3C88"/>
    <w:rsid w:val="000D7A02"/>
    <w:rsid w:val="000F49A9"/>
    <w:rsid w:val="00130FBA"/>
    <w:rsid w:val="001374F7"/>
    <w:rsid w:val="00146008"/>
    <w:rsid w:val="0015155A"/>
    <w:rsid w:val="0015355B"/>
    <w:rsid w:val="001573F4"/>
    <w:rsid w:val="00160048"/>
    <w:rsid w:val="00177392"/>
    <w:rsid w:val="00190716"/>
    <w:rsid w:val="001B389B"/>
    <w:rsid w:val="001B5233"/>
    <w:rsid w:val="001D4D85"/>
    <w:rsid w:val="001D7F1C"/>
    <w:rsid w:val="001F0E90"/>
    <w:rsid w:val="0023159C"/>
    <w:rsid w:val="002339C0"/>
    <w:rsid w:val="00245C1E"/>
    <w:rsid w:val="002500A9"/>
    <w:rsid w:val="00277DE6"/>
    <w:rsid w:val="00284ABF"/>
    <w:rsid w:val="00285F2E"/>
    <w:rsid w:val="002863F2"/>
    <w:rsid w:val="002A5836"/>
    <w:rsid w:val="002C60BB"/>
    <w:rsid w:val="002C712A"/>
    <w:rsid w:val="002D7358"/>
    <w:rsid w:val="002E3D79"/>
    <w:rsid w:val="002F4637"/>
    <w:rsid w:val="002F5525"/>
    <w:rsid w:val="002F578C"/>
    <w:rsid w:val="00306408"/>
    <w:rsid w:val="0035700C"/>
    <w:rsid w:val="00395F88"/>
    <w:rsid w:val="003A2A77"/>
    <w:rsid w:val="003A6AC0"/>
    <w:rsid w:val="003B626F"/>
    <w:rsid w:val="003C4F0B"/>
    <w:rsid w:val="003E6909"/>
    <w:rsid w:val="00400EFC"/>
    <w:rsid w:val="00422AF6"/>
    <w:rsid w:val="0044140E"/>
    <w:rsid w:val="00471723"/>
    <w:rsid w:val="004C304F"/>
    <w:rsid w:val="004E457F"/>
    <w:rsid w:val="004F26D1"/>
    <w:rsid w:val="0054286F"/>
    <w:rsid w:val="005442EF"/>
    <w:rsid w:val="00555DA8"/>
    <w:rsid w:val="00560B60"/>
    <w:rsid w:val="00577D67"/>
    <w:rsid w:val="0058124F"/>
    <w:rsid w:val="00595F5F"/>
    <w:rsid w:val="0059750D"/>
    <w:rsid w:val="005C39A5"/>
    <w:rsid w:val="00601449"/>
    <w:rsid w:val="00606870"/>
    <w:rsid w:val="00630CB4"/>
    <w:rsid w:val="00637FB4"/>
    <w:rsid w:val="00677FD3"/>
    <w:rsid w:val="00694588"/>
    <w:rsid w:val="006B2B15"/>
    <w:rsid w:val="006B2DDB"/>
    <w:rsid w:val="006C675D"/>
    <w:rsid w:val="006F09F1"/>
    <w:rsid w:val="006F0F49"/>
    <w:rsid w:val="006F2E49"/>
    <w:rsid w:val="00706CDD"/>
    <w:rsid w:val="0072044D"/>
    <w:rsid w:val="00756401"/>
    <w:rsid w:val="00770F61"/>
    <w:rsid w:val="00775986"/>
    <w:rsid w:val="007767F0"/>
    <w:rsid w:val="0078736D"/>
    <w:rsid w:val="007A249B"/>
    <w:rsid w:val="007C41AD"/>
    <w:rsid w:val="007E5060"/>
    <w:rsid w:val="007E520B"/>
    <w:rsid w:val="008036EC"/>
    <w:rsid w:val="00804A84"/>
    <w:rsid w:val="008117F3"/>
    <w:rsid w:val="00817785"/>
    <w:rsid w:val="00817FFA"/>
    <w:rsid w:val="008240C4"/>
    <w:rsid w:val="0083624B"/>
    <w:rsid w:val="00840117"/>
    <w:rsid w:val="00864F92"/>
    <w:rsid w:val="00865EFE"/>
    <w:rsid w:val="00895129"/>
    <w:rsid w:val="00920597"/>
    <w:rsid w:val="00931C3A"/>
    <w:rsid w:val="00954ABE"/>
    <w:rsid w:val="00966DD2"/>
    <w:rsid w:val="00982B80"/>
    <w:rsid w:val="00991057"/>
    <w:rsid w:val="00995AF6"/>
    <w:rsid w:val="009A2C82"/>
    <w:rsid w:val="009B45E8"/>
    <w:rsid w:val="00A021BA"/>
    <w:rsid w:val="00A13F88"/>
    <w:rsid w:val="00A22A58"/>
    <w:rsid w:val="00A24F87"/>
    <w:rsid w:val="00A26A39"/>
    <w:rsid w:val="00A27EAC"/>
    <w:rsid w:val="00A460C0"/>
    <w:rsid w:val="00A479C7"/>
    <w:rsid w:val="00A5206B"/>
    <w:rsid w:val="00A635E4"/>
    <w:rsid w:val="00A901DB"/>
    <w:rsid w:val="00AD457B"/>
    <w:rsid w:val="00AF255E"/>
    <w:rsid w:val="00B0001E"/>
    <w:rsid w:val="00B3032A"/>
    <w:rsid w:val="00B436EC"/>
    <w:rsid w:val="00B73A29"/>
    <w:rsid w:val="00B8499C"/>
    <w:rsid w:val="00B864FB"/>
    <w:rsid w:val="00B940B1"/>
    <w:rsid w:val="00B95D18"/>
    <w:rsid w:val="00BA52CB"/>
    <w:rsid w:val="00BC291A"/>
    <w:rsid w:val="00BE63C4"/>
    <w:rsid w:val="00BF5C5B"/>
    <w:rsid w:val="00BF7500"/>
    <w:rsid w:val="00C07966"/>
    <w:rsid w:val="00C26F83"/>
    <w:rsid w:val="00C27BC5"/>
    <w:rsid w:val="00C338EA"/>
    <w:rsid w:val="00C42C6A"/>
    <w:rsid w:val="00C501D8"/>
    <w:rsid w:val="00C632BD"/>
    <w:rsid w:val="00C64B93"/>
    <w:rsid w:val="00C9452A"/>
    <w:rsid w:val="00CA4F05"/>
    <w:rsid w:val="00CB22A6"/>
    <w:rsid w:val="00CE205C"/>
    <w:rsid w:val="00CF1131"/>
    <w:rsid w:val="00D25AD6"/>
    <w:rsid w:val="00D51CFE"/>
    <w:rsid w:val="00D60435"/>
    <w:rsid w:val="00D71298"/>
    <w:rsid w:val="00D73A71"/>
    <w:rsid w:val="00DC1182"/>
    <w:rsid w:val="00DC15F3"/>
    <w:rsid w:val="00DF3921"/>
    <w:rsid w:val="00E019C9"/>
    <w:rsid w:val="00E028B7"/>
    <w:rsid w:val="00E07B1B"/>
    <w:rsid w:val="00E15486"/>
    <w:rsid w:val="00E170E3"/>
    <w:rsid w:val="00E17A42"/>
    <w:rsid w:val="00E238D2"/>
    <w:rsid w:val="00E26142"/>
    <w:rsid w:val="00E309D1"/>
    <w:rsid w:val="00E41BD6"/>
    <w:rsid w:val="00E44D67"/>
    <w:rsid w:val="00E50DAA"/>
    <w:rsid w:val="00E5262D"/>
    <w:rsid w:val="00E5331F"/>
    <w:rsid w:val="00E65A94"/>
    <w:rsid w:val="00E72AF4"/>
    <w:rsid w:val="00E73011"/>
    <w:rsid w:val="00E96AE6"/>
    <w:rsid w:val="00EA0E59"/>
    <w:rsid w:val="00EB7569"/>
    <w:rsid w:val="00EC6A12"/>
    <w:rsid w:val="00EF4714"/>
    <w:rsid w:val="00EF4B41"/>
    <w:rsid w:val="00EF663A"/>
    <w:rsid w:val="00EF791B"/>
    <w:rsid w:val="00F0425F"/>
    <w:rsid w:val="00F10238"/>
    <w:rsid w:val="00F13C27"/>
    <w:rsid w:val="00F142ED"/>
    <w:rsid w:val="00F17165"/>
    <w:rsid w:val="00F30E74"/>
    <w:rsid w:val="00F31617"/>
    <w:rsid w:val="00F36757"/>
    <w:rsid w:val="00F41E54"/>
    <w:rsid w:val="00F462F0"/>
    <w:rsid w:val="00FA519A"/>
    <w:rsid w:val="00FB287D"/>
    <w:rsid w:val="00FB33C7"/>
    <w:rsid w:val="00FF5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3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B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6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757"/>
    <w:rPr>
      <w:rFonts w:ascii="Tahoma" w:hAnsi="Tahoma" w:cs="Tahoma"/>
      <w:sz w:val="16"/>
      <w:szCs w:val="16"/>
    </w:rPr>
  </w:style>
  <w:style w:type="paragraph" w:styleId="Header">
    <w:name w:val="header"/>
    <w:basedOn w:val="Normal"/>
    <w:link w:val="HeaderChar"/>
    <w:uiPriority w:val="99"/>
    <w:unhideWhenUsed/>
    <w:rsid w:val="003C4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0B"/>
  </w:style>
  <w:style w:type="paragraph" w:styleId="Footer">
    <w:name w:val="footer"/>
    <w:basedOn w:val="Normal"/>
    <w:link w:val="FooterChar"/>
    <w:uiPriority w:val="99"/>
    <w:unhideWhenUsed/>
    <w:rsid w:val="003C4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0B"/>
  </w:style>
  <w:style w:type="character" w:styleId="CommentReference">
    <w:name w:val="annotation reference"/>
    <w:basedOn w:val="DefaultParagraphFont"/>
    <w:uiPriority w:val="99"/>
    <w:semiHidden/>
    <w:unhideWhenUsed/>
    <w:rsid w:val="00F10238"/>
    <w:rPr>
      <w:sz w:val="16"/>
      <w:szCs w:val="16"/>
    </w:rPr>
  </w:style>
  <w:style w:type="paragraph" w:styleId="CommentText">
    <w:name w:val="annotation text"/>
    <w:basedOn w:val="Normal"/>
    <w:link w:val="CommentTextChar"/>
    <w:uiPriority w:val="99"/>
    <w:semiHidden/>
    <w:unhideWhenUsed/>
    <w:rsid w:val="00F10238"/>
    <w:pPr>
      <w:spacing w:line="240" w:lineRule="auto"/>
    </w:pPr>
    <w:rPr>
      <w:sz w:val="20"/>
      <w:szCs w:val="20"/>
    </w:rPr>
  </w:style>
  <w:style w:type="character" w:customStyle="1" w:styleId="CommentTextChar">
    <w:name w:val="Comment Text Char"/>
    <w:basedOn w:val="DefaultParagraphFont"/>
    <w:link w:val="CommentText"/>
    <w:uiPriority w:val="99"/>
    <w:semiHidden/>
    <w:rsid w:val="00F10238"/>
    <w:rPr>
      <w:sz w:val="20"/>
      <w:szCs w:val="20"/>
    </w:rPr>
  </w:style>
  <w:style w:type="paragraph" w:styleId="CommentSubject">
    <w:name w:val="annotation subject"/>
    <w:basedOn w:val="CommentText"/>
    <w:next w:val="CommentText"/>
    <w:link w:val="CommentSubjectChar"/>
    <w:uiPriority w:val="99"/>
    <w:semiHidden/>
    <w:unhideWhenUsed/>
    <w:rsid w:val="00F10238"/>
    <w:rPr>
      <w:b/>
      <w:bCs/>
    </w:rPr>
  </w:style>
  <w:style w:type="character" w:customStyle="1" w:styleId="CommentSubjectChar">
    <w:name w:val="Comment Subject Char"/>
    <w:basedOn w:val="CommentTextChar"/>
    <w:link w:val="CommentSubject"/>
    <w:uiPriority w:val="99"/>
    <w:semiHidden/>
    <w:rsid w:val="00F10238"/>
    <w:rPr>
      <w:b/>
      <w:bCs/>
      <w:sz w:val="20"/>
      <w:szCs w:val="20"/>
    </w:rPr>
  </w:style>
  <w:style w:type="paragraph" w:styleId="ListParagraph">
    <w:name w:val="List Paragraph"/>
    <w:basedOn w:val="Normal"/>
    <w:uiPriority w:val="34"/>
    <w:qFormat/>
    <w:rsid w:val="00982B80"/>
    <w:pPr>
      <w:ind w:left="720"/>
      <w:contextualSpacing/>
    </w:pPr>
  </w:style>
  <w:style w:type="paragraph" w:customStyle="1" w:styleId="Default">
    <w:name w:val="Default"/>
    <w:rsid w:val="00C338E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6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757"/>
    <w:rPr>
      <w:rFonts w:ascii="Tahoma" w:hAnsi="Tahoma" w:cs="Tahoma"/>
      <w:sz w:val="16"/>
      <w:szCs w:val="16"/>
    </w:rPr>
  </w:style>
  <w:style w:type="paragraph" w:styleId="Header">
    <w:name w:val="header"/>
    <w:basedOn w:val="Normal"/>
    <w:link w:val="HeaderChar"/>
    <w:uiPriority w:val="99"/>
    <w:unhideWhenUsed/>
    <w:rsid w:val="003C4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0B"/>
  </w:style>
  <w:style w:type="paragraph" w:styleId="Footer">
    <w:name w:val="footer"/>
    <w:basedOn w:val="Normal"/>
    <w:link w:val="FooterChar"/>
    <w:uiPriority w:val="99"/>
    <w:unhideWhenUsed/>
    <w:rsid w:val="003C4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0B"/>
  </w:style>
  <w:style w:type="character" w:styleId="CommentReference">
    <w:name w:val="annotation reference"/>
    <w:basedOn w:val="DefaultParagraphFont"/>
    <w:uiPriority w:val="99"/>
    <w:semiHidden/>
    <w:unhideWhenUsed/>
    <w:rsid w:val="00F10238"/>
    <w:rPr>
      <w:sz w:val="16"/>
      <w:szCs w:val="16"/>
    </w:rPr>
  </w:style>
  <w:style w:type="paragraph" w:styleId="CommentText">
    <w:name w:val="annotation text"/>
    <w:basedOn w:val="Normal"/>
    <w:link w:val="CommentTextChar"/>
    <w:uiPriority w:val="99"/>
    <w:semiHidden/>
    <w:unhideWhenUsed/>
    <w:rsid w:val="00F10238"/>
    <w:pPr>
      <w:spacing w:line="240" w:lineRule="auto"/>
    </w:pPr>
    <w:rPr>
      <w:sz w:val="20"/>
      <w:szCs w:val="20"/>
    </w:rPr>
  </w:style>
  <w:style w:type="character" w:customStyle="1" w:styleId="CommentTextChar">
    <w:name w:val="Comment Text Char"/>
    <w:basedOn w:val="DefaultParagraphFont"/>
    <w:link w:val="CommentText"/>
    <w:uiPriority w:val="99"/>
    <w:semiHidden/>
    <w:rsid w:val="00F10238"/>
    <w:rPr>
      <w:sz w:val="20"/>
      <w:szCs w:val="20"/>
    </w:rPr>
  </w:style>
  <w:style w:type="paragraph" w:styleId="CommentSubject">
    <w:name w:val="annotation subject"/>
    <w:basedOn w:val="CommentText"/>
    <w:next w:val="CommentText"/>
    <w:link w:val="CommentSubjectChar"/>
    <w:uiPriority w:val="99"/>
    <w:semiHidden/>
    <w:unhideWhenUsed/>
    <w:rsid w:val="00F10238"/>
    <w:rPr>
      <w:b/>
      <w:bCs/>
    </w:rPr>
  </w:style>
  <w:style w:type="character" w:customStyle="1" w:styleId="CommentSubjectChar">
    <w:name w:val="Comment Subject Char"/>
    <w:basedOn w:val="CommentTextChar"/>
    <w:link w:val="CommentSubject"/>
    <w:uiPriority w:val="99"/>
    <w:semiHidden/>
    <w:rsid w:val="00F10238"/>
    <w:rPr>
      <w:b/>
      <w:bCs/>
      <w:sz w:val="20"/>
      <w:szCs w:val="20"/>
    </w:rPr>
  </w:style>
  <w:style w:type="paragraph" w:styleId="ListParagraph">
    <w:name w:val="List Paragraph"/>
    <w:basedOn w:val="Normal"/>
    <w:uiPriority w:val="34"/>
    <w:qFormat/>
    <w:rsid w:val="00982B80"/>
    <w:pPr>
      <w:ind w:left="720"/>
      <w:contextualSpacing/>
    </w:pPr>
  </w:style>
  <w:style w:type="paragraph" w:customStyle="1" w:styleId="Default">
    <w:name w:val="Default"/>
    <w:rsid w:val="00C338E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CF151-3556-4319-8ED1-857DC90D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USP</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kuma_c</dc:creator>
  <cp:lastModifiedBy>others</cp:lastModifiedBy>
  <cp:revision>2</cp:revision>
  <cp:lastPrinted>2015-06-10T22:50:00Z</cp:lastPrinted>
  <dcterms:created xsi:type="dcterms:W3CDTF">2017-05-04T09:56:00Z</dcterms:created>
  <dcterms:modified xsi:type="dcterms:W3CDTF">2017-05-04T09:56:00Z</dcterms:modified>
</cp:coreProperties>
</file>